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A96744" w14:textId="77777777" w:rsidR="00D2105F" w:rsidRPr="00D2105F" w:rsidRDefault="00D2105F" w:rsidP="00D2105F">
      <w:pPr>
        <w:rPr>
          <w:lang w:val="hr-HR"/>
        </w:rPr>
      </w:pPr>
      <w:r w:rsidRPr="00D2105F">
        <w:rPr>
          <w:lang w:val="hr-HR"/>
        </w:rPr>
        <w:t>VODIČ: Kako ispuniti Obrazac TZ2 preko sustava eGrađani?</w:t>
      </w:r>
    </w:p>
    <w:p w14:paraId="0AAEDAAF" w14:textId="54FB589D" w:rsidR="00D2105F" w:rsidRPr="00D2105F" w:rsidRDefault="00D2105F" w:rsidP="00D2105F">
      <w:pPr>
        <w:rPr>
          <w:lang w:val="hr-HR"/>
        </w:rPr>
      </w:pPr>
      <w:r w:rsidRPr="00D2105F">
        <w:rPr>
          <w:lang w:val="hr-HR"/>
        </w:rPr>
        <w:drawing>
          <wp:inline distT="0" distB="0" distL="0" distR="0" wp14:anchorId="129E4D6A" wp14:editId="4F8C508F">
            <wp:extent cx="5943600" cy="3961130"/>
            <wp:effectExtent l="0" t="0" r="0" b="1270"/>
            <wp:docPr id="932630398" name="Picture 28">
              <a:hlinkClick xmlns:a="http://schemas.openxmlformats.org/drawingml/2006/main" r:id="rId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a:hlinkClick r:id="rId5" tgtFrame="&quot;_blank&quot;"/>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3961130"/>
                    </a:xfrm>
                    <a:prstGeom prst="rect">
                      <a:avLst/>
                    </a:prstGeom>
                    <a:noFill/>
                    <a:ln>
                      <a:noFill/>
                    </a:ln>
                  </pic:spPr>
                </pic:pic>
              </a:graphicData>
            </a:graphic>
          </wp:inline>
        </w:drawing>
      </w:r>
    </w:p>
    <w:p w14:paraId="71083527" w14:textId="77777777" w:rsidR="00D2105F" w:rsidRPr="00D2105F" w:rsidRDefault="00D2105F" w:rsidP="00D2105F">
      <w:pPr>
        <w:rPr>
          <w:lang w:val="hr-HR"/>
        </w:rPr>
      </w:pPr>
      <w:r w:rsidRPr="00D2105F">
        <w:rPr>
          <w:lang w:val="hr-HR"/>
        </w:rPr>
        <w:t>Od ove se godine </w:t>
      </w:r>
      <w:hyperlink r:id="rId7" w:history="1">
        <w:r w:rsidRPr="00D2105F">
          <w:rPr>
            <w:rStyle w:val="Hyperlink"/>
            <w:lang w:val="hr-HR"/>
          </w:rPr>
          <w:t>mijenja način podnošenja obrasca</w:t>
        </w:r>
      </w:hyperlink>
      <w:r w:rsidRPr="00D2105F">
        <w:rPr>
          <w:lang w:val="hr-HR"/>
        </w:rPr>
        <w:t> te se istoga sada može predati isključivo elektroničkim putem preko sustava eGrađani / ePorezna. U nastavku donosimo uputu kako pronaći obrazac te kako ga pravilno popuniti korak po korak!</w:t>
      </w:r>
    </w:p>
    <w:p w14:paraId="62EC013E" w14:textId="77777777" w:rsidR="00D2105F" w:rsidRPr="00D2105F" w:rsidRDefault="00D2105F" w:rsidP="00D2105F">
      <w:pPr>
        <w:rPr>
          <w:lang w:val="hr-HR"/>
        </w:rPr>
      </w:pPr>
      <w:r w:rsidRPr="00D2105F">
        <w:rPr>
          <w:i/>
          <w:iCs/>
          <w:lang w:val="hr-HR"/>
        </w:rPr>
        <w:t>Obrazac se predaje za tekuću godinu, dok se kao ukupan iznos primitaka iz evidencije prometa upisuju primitci ostvareni u prethodnoj (2024.) godini. Iznajmljivači koji su </w:t>
      </w:r>
      <w:r w:rsidRPr="00D2105F">
        <w:rPr>
          <w:b/>
          <w:bCs/>
          <w:i/>
          <w:iCs/>
          <w:lang w:val="hr-HR"/>
        </w:rPr>
        <w:t>odjavili</w:t>
      </w:r>
      <w:r w:rsidRPr="00D2105F">
        <w:rPr>
          <w:i/>
          <w:iCs/>
          <w:lang w:val="hr-HR"/>
        </w:rPr>
        <w:t> pružanje ugostiteljskih usluga u prethodnoj godini </w:t>
      </w:r>
      <w:r w:rsidRPr="00D2105F">
        <w:rPr>
          <w:b/>
          <w:bCs/>
          <w:i/>
          <w:iCs/>
          <w:lang w:val="hr-HR"/>
        </w:rPr>
        <w:t>ne podnose Obrazac TZ2</w:t>
      </w:r>
      <w:r w:rsidRPr="00D2105F">
        <w:rPr>
          <w:i/>
          <w:iCs/>
          <w:lang w:val="hr-HR"/>
        </w:rPr>
        <w:t>.</w:t>
      </w:r>
    </w:p>
    <w:p w14:paraId="12F88CE8" w14:textId="77777777" w:rsidR="00D2105F" w:rsidRPr="00D2105F" w:rsidRDefault="00D2105F" w:rsidP="00D2105F">
      <w:pPr>
        <w:rPr>
          <w:lang w:val="hr-HR"/>
        </w:rPr>
      </w:pPr>
      <w:r w:rsidRPr="00D2105F">
        <w:rPr>
          <w:lang w:val="hr-HR"/>
        </w:rPr>
        <w:t>KORAK 1 – prijava u sustav ePorezna</w:t>
      </w:r>
    </w:p>
    <w:p w14:paraId="64424A8A" w14:textId="77777777" w:rsidR="00D2105F" w:rsidRPr="00D2105F" w:rsidRDefault="00D2105F" w:rsidP="00D2105F">
      <w:pPr>
        <w:rPr>
          <w:lang w:val="hr-HR"/>
        </w:rPr>
      </w:pPr>
      <w:r w:rsidRPr="00D2105F">
        <w:rPr>
          <w:lang w:val="hr-HR"/>
        </w:rPr>
        <w:t>Kliknite na poveznicu: </w:t>
      </w:r>
      <w:hyperlink r:id="rId8" w:history="1">
        <w:r w:rsidRPr="00D2105F">
          <w:rPr>
            <w:rStyle w:val="Hyperlink"/>
            <w:lang w:val="hr-HR"/>
          </w:rPr>
          <w:t>e-porezna.porezna-uprava.hr/Prijava.aspx</w:t>
        </w:r>
      </w:hyperlink>
    </w:p>
    <w:p w14:paraId="5E327B0E" w14:textId="77777777" w:rsidR="00D2105F" w:rsidRPr="00D2105F" w:rsidRDefault="00D2105F" w:rsidP="00D2105F">
      <w:pPr>
        <w:rPr>
          <w:lang w:val="hr-HR"/>
        </w:rPr>
      </w:pPr>
      <w:r w:rsidRPr="00D2105F">
        <w:rPr>
          <w:lang w:val="hr-HR"/>
        </w:rPr>
        <w:t>Kada se stranica otvorila, odaberite opciju </w:t>
      </w:r>
      <w:r w:rsidRPr="00D2105F">
        <w:rPr>
          <w:b/>
          <w:bCs/>
          <w:i/>
          <w:iCs/>
          <w:lang w:val="hr-HR"/>
        </w:rPr>
        <w:t>„Ulaz“</w:t>
      </w:r>
    </w:p>
    <w:p w14:paraId="51A7A9A4" w14:textId="36463C31" w:rsidR="00D2105F" w:rsidRPr="00D2105F" w:rsidRDefault="00D2105F" w:rsidP="00D2105F">
      <w:pPr>
        <w:rPr>
          <w:lang w:val="hr-HR"/>
        </w:rPr>
      </w:pPr>
      <w:r w:rsidRPr="00D2105F">
        <w:rPr>
          <w:b/>
          <w:bCs/>
          <w:i/>
          <w:iCs/>
          <w:lang w:val="hr-HR"/>
        </w:rPr>
        <w:lastRenderedPageBreak/>
        <w:drawing>
          <wp:inline distT="0" distB="0" distL="0" distR="0" wp14:anchorId="5E0C8A30" wp14:editId="2E9C1E61">
            <wp:extent cx="5943600" cy="4053840"/>
            <wp:effectExtent l="0" t="0" r="0" b="3810"/>
            <wp:docPr id="596758404" name="Picture 27">
              <a:hlinkClick xmlns:a="http://schemas.openxmlformats.org/drawingml/2006/main" r:id="rId9"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a:hlinkClick r:id="rId9" tooltip="&quot;&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4053840"/>
                    </a:xfrm>
                    <a:prstGeom prst="rect">
                      <a:avLst/>
                    </a:prstGeom>
                    <a:noFill/>
                    <a:ln>
                      <a:noFill/>
                    </a:ln>
                  </pic:spPr>
                </pic:pic>
              </a:graphicData>
            </a:graphic>
          </wp:inline>
        </w:drawing>
      </w:r>
    </w:p>
    <w:p w14:paraId="2823E573" w14:textId="77777777" w:rsidR="00D2105F" w:rsidRPr="00D2105F" w:rsidRDefault="00D2105F" w:rsidP="00D2105F">
      <w:pPr>
        <w:rPr>
          <w:lang w:val="hr-HR"/>
        </w:rPr>
      </w:pPr>
      <w:r w:rsidRPr="00D2105F">
        <w:rPr>
          <w:lang w:val="hr-HR"/>
        </w:rPr>
        <w:t> </w:t>
      </w:r>
    </w:p>
    <w:p w14:paraId="042643B3" w14:textId="77777777" w:rsidR="00D2105F" w:rsidRPr="00D2105F" w:rsidRDefault="00D2105F" w:rsidP="00D2105F">
      <w:pPr>
        <w:rPr>
          <w:lang w:val="hr-HR"/>
        </w:rPr>
      </w:pPr>
      <w:r w:rsidRPr="00D2105F">
        <w:rPr>
          <w:lang w:val="hr-HR"/>
        </w:rPr>
        <w:t> </w:t>
      </w:r>
    </w:p>
    <w:p w14:paraId="4AFFD21D" w14:textId="77777777" w:rsidR="00D2105F" w:rsidRPr="00D2105F" w:rsidRDefault="00D2105F" w:rsidP="00D2105F">
      <w:pPr>
        <w:rPr>
          <w:lang w:val="hr-HR"/>
        </w:rPr>
      </w:pPr>
      <w:r w:rsidRPr="00D2105F">
        <w:rPr>
          <w:lang w:val="hr-HR"/>
        </w:rPr>
        <w:t>KORAK 2 – odabir načina prijave (e-osobna iskaznica, banka)</w:t>
      </w:r>
    </w:p>
    <w:p w14:paraId="532C8331" w14:textId="77777777" w:rsidR="00D2105F" w:rsidRPr="00D2105F" w:rsidRDefault="00D2105F" w:rsidP="00D2105F">
      <w:pPr>
        <w:rPr>
          <w:lang w:val="hr-HR"/>
        </w:rPr>
      </w:pPr>
      <w:r w:rsidRPr="00D2105F">
        <w:rPr>
          <w:lang w:val="hr-HR"/>
        </w:rPr>
        <w:t>Otvorit će vam se opcije za prijavu u sustav eGrađani, odnosno ePorezna.</w:t>
      </w:r>
      <w:r w:rsidRPr="00D2105F">
        <w:rPr>
          <w:lang w:val="hr-HR"/>
        </w:rPr>
        <w:br/>
      </w:r>
    </w:p>
    <w:p w14:paraId="6DB1D4C7" w14:textId="77777777" w:rsidR="00D2105F" w:rsidRPr="00D2105F" w:rsidRDefault="00D2105F" w:rsidP="00D2105F">
      <w:pPr>
        <w:rPr>
          <w:lang w:val="hr-HR"/>
        </w:rPr>
      </w:pPr>
      <w:r w:rsidRPr="00D2105F">
        <w:rPr>
          <w:lang w:val="hr-HR"/>
        </w:rPr>
        <w:t>U sustav se možete prijaviti na jedan od sljedeća tri načina (isključivo osoba na koju glasi kategorizacija):</w:t>
      </w:r>
    </w:p>
    <w:p w14:paraId="5A3CB84C" w14:textId="77777777" w:rsidR="00D2105F" w:rsidRPr="00D2105F" w:rsidRDefault="00D2105F" w:rsidP="00D2105F">
      <w:pPr>
        <w:numPr>
          <w:ilvl w:val="0"/>
          <w:numId w:val="1"/>
        </w:numPr>
        <w:rPr>
          <w:lang w:val="hr-HR"/>
        </w:rPr>
      </w:pPr>
      <w:r w:rsidRPr="00D2105F">
        <w:rPr>
          <w:i/>
          <w:iCs/>
          <w:lang w:val="hr-HR"/>
        </w:rPr>
        <w:t>putem e-osobne iskaznice (uz čitač e-osobnih iskaznica)</w:t>
      </w:r>
    </w:p>
    <w:p w14:paraId="66772BED" w14:textId="77777777" w:rsidR="00D2105F" w:rsidRPr="00D2105F" w:rsidRDefault="00D2105F" w:rsidP="00D2105F">
      <w:pPr>
        <w:numPr>
          <w:ilvl w:val="0"/>
          <w:numId w:val="1"/>
        </w:numPr>
        <w:rPr>
          <w:lang w:val="hr-HR"/>
        </w:rPr>
      </w:pPr>
      <w:r w:rsidRPr="00D2105F">
        <w:rPr>
          <w:i/>
          <w:iCs/>
          <w:lang w:val="hr-HR"/>
        </w:rPr>
        <w:t>putem m-banking aplikacije i</w:t>
      </w:r>
    </w:p>
    <w:p w14:paraId="04DD07A8" w14:textId="77777777" w:rsidR="00D2105F" w:rsidRPr="00D2105F" w:rsidRDefault="00D2105F" w:rsidP="00D2105F">
      <w:pPr>
        <w:numPr>
          <w:ilvl w:val="0"/>
          <w:numId w:val="1"/>
        </w:numPr>
        <w:rPr>
          <w:lang w:val="hr-HR"/>
        </w:rPr>
      </w:pPr>
      <w:r w:rsidRPr="00D2105F">
        <w:rPr>
          <w:i/>
          <w:iCs/>
          <w:lang w:val="hr-HR"/>
        </w:rPr>
        <w:t>putem pristupnih podataka koje možete dobiti u FINA-i.</w:t>
      </w:r>
    </w:p>
    <w:p w14:paraId="2E7B625E" w14:textId="77777777" w:rsidR="00D2105F" w:rsidRPr="00D2105F" w:rsidRDefault="00D2105F" w:rsidP="00D2105F">
      <w:pPr>
        <w:rPr>
          <w:lang w:val="hr-HR"/>
        </w:rPr>
      </w:pPr>
      <w:r w:rsidRPr="00D2105F">
        <w:rPr>
          <w:lang w:val="hr-HR"/>
        </w:rPr>
        <w:t>Primjerice, ako se želite prijaviti putem m-banking aplikacije (m-token), odabrat ćete naziv svoje banke.</w:t>
      </w:r>
    </w:p>
    <w:p w14:paraId="4E797BAD" w14:textId="0A3D45A1" w:rsidR="00D2105F" w:rsidRPr="00D2105F" w:rsidRDefault="00D2105F" w:rsidP="00D2105F">
      <w:pPr>
        <w:rPr>
          <w:lang w:val="hr-HR"/>
        </w:rPr>
      </w:pPr>
      <w:r w:rsidRPr="00D2105F">
        <w:rPr>
          <w:lang w:val="hr-HR"/>
        </w:rPr>
        <w:lastRenderedPageBreak/>
        <w:drawing>
          <wp:inline distT="0" distB="0" distL="0" distR="0" wp14:anchorId="221E337F" wp14:editId="3EC442A3">
            <wp:extent cx="5943600" cy="4219575"/>
            <wp:effectExtent l="0" t="0" r="0" b="9525"/>
            <wp:docPr id="1140175458" name="Picture 26">
              <a:hlinkClick xmlns:a="http://schemas.openxmlformats.org/drawingml/2006/main" r:id="rId11"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a:hlinkClick r:id="rId11" tooltip="&quot;&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4219575"/>
                    </a:xfrm>
                    <a:prstGeom prst="rect">
                      <a:avLst/>
                    </a:prstGeom>
                    <a:noFill/>
                    <a:ln>
                      <a:noFill/>
                    </a:ln>
                  </pic:spPr>
                </pic:pic>
              </a:graphicData>
            </a:graphic>
          </wp:inline>
        </w:drawing>
      </w:r>
    </w:p>
    <w:p w14:paraId="258A7949" w14:textId="77777777" w:rsidR="00D2105F" w:rsidRPr="00D2105F" w:rsidRDefault="00D2105F" w:rsidP="00D2105F">
      <w:pPr>
        <w:rPr>
          <w:lang w:val="hr-HR"/>
        </w:rPr>
      </w:pPr>
      <w:r w:rsidRPr="00D2105F">
        <w:rPr>
          <w:lang w:val="hr-HR"/>
        </w:rPr>
        <w:t> </w:t>
      </w:r>
    </w:p>
    <w:p w14:paraId="4C5BAC67" w14:textId="77777777" w:rsidR="00D2105F" w:rsidRPr="00D2105F" w:rsidRDefault="00D2105F" w:rsidP="00D2105F">
      <w:pPr>
        <w:rPr>
          <w:lang w:val="hr-HR"/>
        </w:rPr>
      </w:pPr>
      <w:r w:rsidRPr="00D2105F">
        <w:rPr>
          <w:lang w:val="hr-HR"/>
        </w:rPr>
        <w:t>KORAK 3 – unos korisničkih podataka</w:t>
      </w:r>
    </w:p>
    <w:p w14:paraId="73F1BECF" w14:textId="77777777" w:rsidR="00D2105F" w:rsidRPr="00D2105F" w:rsidRDefault="00D2105F" w:rsidP="00D2105F">
      <w:pPr>
        <w:rPr>
          <w:lang w:val="hr-HR"/>
        </w:rPr>
      </w:pPr>
      <w:r w:rsidRPr="00D2105F">
        <w:rPr>
          <w:lang w:val="hr-HR"/>
        </w:rPr>
        <w:t>Nakon što ste odabrali željeni način prijave, potrebno je unijeti podatke za prijavu. Primjerice, ako se prijavljujete putem banke, trebat ćete unijeti serijski broj tokena te jednokratnu zaporku koju će vam generirati vaša m-banking aplikacija. Ne zaboravite odabrati opciju da potvrđujete da ste upoznati s informacijama o obradi osobnih podataka.</w:t>
      </w:r>
    </w:p>
    <w:p w14:paraId="1C3211C6" w14:textId="77777777" w:rsidR="00D2105F" w:rsidRPr="00D2105F" w:rsidRDefault="00D2105F" w:rsidP="00D2105F">
      <w:pPr>
        <w:rPr>
          <w:lang w:val="hr-HR"/>
        </w:rPr>
      </w:pPr>
      <w:r w:rsidRPr="00D2105F">
        <w:rPr>
          <w:lang w:val="hr-HR"/>
        </w:rPr>
        <w:t>U nastavku primjer izgleda sučelja za prijavu preko OTP tokena.</w:t>
      </w:r>
    </w:p>
    <w:p w14:paraId="47E09519" w14:textId="4EE938F2" w:rsidR="00D2105F" w:rsidRPr="00D2105F" w:rsidRDefault="00D2105F" w:rsidP="00D2105F">
      <w:pPr>
        <w:rPr>
          <w:lang w:val="hr-HR"/>
        </w:rPr>
      </w:pPr>
      <w:r w:rsidRPr="00D2105F">
        <w:rPr>
          <w:lang w:val="hr-HR"/>
        </w:rPr>
        <w:lastRenderedPageBreak/>
        <w:drawing>
          <wp:inline distT="0" distB="0" distL="0" distR="0" wp14:anchorId="7BAA63BA" wp14:editId="6747F75A">
            <wp:extent cx="5943600" cy="2529840"/>
            <wp:effectExtent l="0" t="0" r="0" b="3810"/>
            <wp:docPr id="2146974150" name="Picture 25">
              <a:hlinkClick xmlns:a="http://schemas.openxmlformats.org/drawingml/2006/main" r:id="rId13"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a:hlinkClick r:id="rId13" tooltip="&quot;&quo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2529840"/>
                    </a:xfrm>
                    <a:prstGeom prst="rect">
                      <a:avLst/>
                    </a:prstGeom>
                    <a:noFill/>
                    <a:ln>
                      <a:noFill/>
                    </a:ln>
                  </pic:spPr>
                </pic:pic>
              </a:graphicData>
            </a:graphic>
          </wp:inline>
        </w:drawing>
      </w:r>
    </w:p>
    <w:p w14:paraId="0DC4B474" w14:textId="77777777" w:rsidR="00D2105F" w:rsidRPr="00D2105F" w:rsidRDefault="00D2105F" w:rsidP="00D2105F">
      <w:pPr>
        <w:rPr>
          <w:lang w:val="hr-HR"/>
        </w:rPr>
      </w:pPr>
      <w:r w:rsidRPr="00D2105F">
        <w:rPr>
          <w:lang w:val="hr-HR"/>
        </w:rPr>
        <w:t> </w:t>
      </w:r>
    </w:p>
    <w:p w14:paraId="4E4B8DD9" w14:textId="77777777" w:rsidR="00D2105F" w:rsidRPr="00D2105F" w:rsidRDefault="00D2105F" w:rsidP="00D2105F">
      <w:pPr>
        <w:rPr>
          <w:lang w:val="hr-HR"/>
        </w:rPr>
      </w:pPr>
      <w:r w:rsidRPr="00D2105F">
        <w:rPr>
          <w:lang w:val="hr-HR"/>
        </w:rPr>
        <w:t>KORAK 4 – unos e-mail adrese</w:t>
      </w:r>
    </w:p>
    <w:p w14:paraId="438D9127" w14:textId="77777777" w:rsidR="00D2105F" w:rsidRPr="00D2105F" w:rsidRDefault="00D2105F" w:rsidP="00D2105F">
      <w:pPr>
        <w:rPr>
          <w:lang w:val="hr-HR"/>
        </w:rPr>
      </w:pPr>
      <w:r w:rsidRPr="00D2105F">
        <w:rPr>
          <w:lang w:val="hr-HR"/>
        </w:rPr>
        <w:t>Prije nastavka rada, sustav će zatražiti da unesete svoju e-mail adresu. Unesite je u za to predviđeno polje.</w:t>
      </w:r>
    </w:p>
    <w:p w14:paraId="29065E69" w14:textId="26DD3A37" w:rsidR="00D2105F" w:rsidRPr="00D2105F" w:rsidRDefault="00D2105F" w:rsidP="00D2105F">
      <w:pPr>
        <w:rPr>
          <w:lang w:val="hr-HR"/>
        </w:rPr>
      </w:pPr>
      <w:r w:rsidRPr="00D2105F">
        <w:rPr>
          <w:lang w:val="hr-HR"/>
        </w:rPr>
        <w:drawing>
          <wp:inline distT="0" distB="0" distL="0" distR="0" wp14:anchorId="52C0D98B" wp14:editId="04D2D25F">
            <wp:extent cx="4619625" cy="3619500"/>
            <wp:effectExtent l="0" t="0" r="9525" b="0"/>
            <wp:docPr id="121561361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19625" cy="3619500"/>
                    </a:xfrm>
                    <a:prstGeom prst="rect">
                      <a:avLst/>
                    </a:prstGeom>
                    <a:noFill/>
                    <a:ln>
                      <a:noFill/>
                    </a:ln>
                  </pic:spPr>
                </pic:pic>
              </a:graphicData>
            </a:graphic>
          </wp:inline>
        </w:drawing>
      </w:r>
    </w:p>
    <w:p w14:paraId="7460A26E" w14:textId="77777777" w:rsidR="00D2105F" w:rsidRPr="00D2105F" w:rsidRDefault="00D2105F" w:rsidP="00D2105F">
      <w:pPr>
        <w:rPr>
          <w:lang w:val="hr-HR"/>
        </w:rPr>
      </w:pPr>
      <w:r w:rsidRPr="00D2105F">
        <w:rPr>
          <w:lang w:val="hr-HR"/>
        </w:rPr>
        <w:t> </w:t>
      </w:r>
    </w:p>
    <w:p w14:paraId="3A445052" w14:textId="77777777" w:rsidR="00D2105F" w:rsidRPr="00D2105F" w:rsidRDefault="00D2105F" w:rsidP="00D2105F">
      <w:pPr>
        <w:rPr>
          <w:lang w:val="hr-HR"/>
        </w:rPr>
      </w:pPr>
      <w:r w:rsidRPr="00D2105F">
        <w:rPr>
          <w:lang w:val="hr-HR"/>
        </w:rPr>
        <w:t>KORAK 5 – traženje Obrasca TZ2 u tražilici</w:t>
      </w:r>
    </w:p>
    <w:p w14:paraId="69CA2517" w14:textId="77777777" w:rsidR="00D2105F" w:rsidRPr="00D2105F" w:rsidRDefault="00D2105F" w:rsidP="00D2105F">
      <w:pPr>
        <w:rPr>
          <w:lang w:val="hr-HR"/>
        </w:rPr>
      </w:pPr>
      <w:r w:rsidRPr="00D2105F">
        <w:rPr>
          <w:lang w:val="hr-HR"/>
        </w:rPr>
        <w:lastRenderedPageBreak/>
        <w:t>Kada ste ušli u sustav, pronađite Obrazac TZ2 na način da u polje tražilice upišete </w:t>
      </w:r>
      <w:r w:rsidRPr="00D2105F">
        <w:rPr>
          <w:b/>
          <w:bCs/>
          <w:lang w:val="hr-HR"/>
        </w:rPr>
        <w:t>„TZ2 obrazac“. </w:t>
      </w:r>
      <w:r w:rsidRPr="00D2105F">
        <w:rPr>
          <w:lang w:val="hr-HR"/>
        </w:rPr>
        <w:t>Čim počnete pisati, ispod polja tražilice ponudit će vam se poveznica za ispunjavanje obrasca, na koju kliknete da biste otvorili obrazac.</w:t>
      </w:r>
    </w:p>
    <w:p w14:paraId="0AFDD241" w14:textId="77777777" w:rsidR="00D2105F" w:rsidRPr="00D2105F" w:rsidRDefault="00D2105F" w:rsidP="00D2105F">
      <w:pPr>
        <w:rPr>
          <w:lang w:val="hr-HR"/>
        </w:rPr>
      </w:pPr>
      <w:r w:rsidRPr="00D2105F">
        <w:rPr>
          <w:b/>
          <w:bCs/>
          <w:i/>
          <w:iCs/>
          <w:lang w:val="hr-HR"/>
        </w:rPr>
        <w:t>Napomena:</w:t>
      </w:r>
      <w:r w:rsidRPr="00D2105F">
        <w:rPr>
          <w:i/>
          <w:iCs/>
          <w:lang w:val="hr-HR"/>
        </w:rPr>
        <w:t> mogućnost otvaranja Obrasca TZ2 otvara se samo korisnicima koji na svoje ime imaju registrirane smještajne objekte. Ako primjerice pokušate otvoriti Obrazac TZ2 putem prijave nekog drugog člana obitelji u ePorezna, ta se opcija neće ponuditi, jer sustav po OIB-u prepoznaje na koga glasi smještajni objekt.</w:t>
      </w:r>
    </w:p>
    <w:p w14:paraId="4677B47F" w14:textId="2840868B" w:rsidR="00D2105F" w:rsidRPr="00D2105F" w:rsidRDefault="00D2105F" w:rsidP="00D2105F">
      <w:pPr>
        <w:rPr>
          <w:lang w:val="hr-HR"/>
        </w:rPr>
      </w:pPr>
      <w:r w:rsidRPr="00D2105F">
        <w:rPr>
          <w:i/>
          <w:iCs/>
          <w:lang w:val="hr-HR"/>
        </w:rPr>
        <w:br/>
      </w:r>
      <w:r w:rsidRPr="00D2105F">
        <w:rPr>
          <w:i/>
          <w:iCs/>
          <w:lang w:val="hr-HR"/>
        </w:rPr>
        <w:drawing>
          <wp:inline distT="0" distB="0" distL="0" distR="0" wp14:anchorId="4B6696D1" wp14:editId="5817E888">
            <wp:extent cx="5943600" cy="3610610"/>
            <wp:effectExtent l="0" t="0" r="0" b="8890"/>
            <wp:docPr id="212200055" name="Picture 23">
              <a:hlinkClick xmlns:a="http://schemas.openxmlformats.org/drawingml/2006/main" r:id="rId16"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a:hlinkClick r:id="rId16" tooltip="&quot;&quo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3610610"/>
                    </a:xfrm>
                    <a:prstGeom prst="rect">
                      <a:avLst/>
                    </a:prstGeom>
                    <a:noFill/>
                    <a:ln>
                      <a:noFill/>
                    </a:ln>
                  </pic:spPr>
                </pic:pic>
              </a:graphicData>
            </a:graphic>
          </wp:inline>
        </w:drawing>
      </w:r>
      <w:r w:rsidRPr="00D2105F">
        <w:rPr>
          <w:i/>
          <w:iCs/>
          <w:lang w:val="hr-HR"/>
        </w:rPr>
        <w:br/>
      </w:r>
    </w:p>
    <w:p w14:paraId="79543E68" w14:textId="77777777" w:rsidR="00D2105F" w:rsidRPr="00D2105F" w:rsidRDefault="00D2105F" w:rsidP="00D2105F">
      <w:pPr>
        <w:rPr>
          <w:lang w:val="hr-HR"/>
        </w:rPr>
      </w:pPr>
      <w:r w:rsidRPr="00D2105F">
        <w:rPr>
          <w:lang w:val="hr-HR"/>
        </w:rPr>
        <w:t> </w:t>
      </w:r>
    </w:p>
    <w:p w14:paraId="2FEB068E" w14:textId="77777777" w:rsidR="00D2105F" w:rsidRPr="00D2105F" w:rsidRDefault="00D2105F" w:rsidP="00D2105F">
      <w:pPr>
        <w:rPr>
          <w:lang w:val="hr-HR"/>
        </w:rPr>
      </w:pPr>
      <w:r w:rsidRPr="00D2105F">
        <w:rPr>
          <w:lang w:val="hr-HR"/>
        </w:rPr>
        <w:t> </w:t>
      </w:r>
    </w:p>
    <w:p w14:paraId="66674947" w14:textId="77777777" w:rsidR="00D2105F" w:rsidRPr="00D2105F" w:rsidRDefault="00D2105F" w:rsidP="00D2105F">
      <w:pPr>
        <w:rPr>
          <w:lang w:val="hr-HR"/>
        </w:rPr>
      </w:pPr>
      <w:r w:rsidRPr="00D2105F">
        <w:rPr>
          <w:lang w:val="hr-HR"/>
        </w:rPr>
        <w:t>KORAK 6 – odabir općine/grada po mjestu prebivališta</w:t>
      </w:r>
    </w:p>
    <w:p w14:paraId="237324E0" w14:textId="77777777" w:rsidR="00D2105F" w:rsidRPr="00D2105F" w:rsidRDefault="00D2105F" w:rsidP="00D2105F">
      <w:pPr>
        <w:rPr>
          <w:lang w:val="hr-HR"/>
        </w:rPr>
      </w:pPr>
      <w:r w:rsidRPr="00D2105F">
        <w:rPr>
          <w:lang w:val="hr-HR"/>
        </w:rPr>
        <w:t>Automatski vam se otvara prvi dio obrasca u kojemu možete vidjeti svoje podatke, a ovdje samo trebate odabrati općinu ili grad (po mjestu prebivališta) iz padajućeg izbornika</w:t>
      </w:r>
      <w:r w:rsidRPr="00D2105F">
        <w:rPr>
          <w:i/>
          <w:iCs/>
          <w:lang w:val="hr-HR"/>
        </w:rPr>
        <w:t>.</w:t>
      </w:r>
    </w:p>
    <w:p w14:paraId="135A776D" w14:textId="418FD295" w:rsidR="00D2105F" w:rsidRPr="00D2105F" w:rsidRDefault="00D2105F" w:rsidP="00D2105F">
      <w:pPr>
        <w:rPr>
          <w:lang w:val="hr-HR"/>
        </w:rPr>
      </w:pPr>
      <w:r w:rsidRPr="00D2105F">
        <w:rPr>
          <w:lang w:val="hr-HR"/>
        </w:rPr>
        <w:lastRenderedPageBreak/>
        <w:drawing>
          <wp:inline distT="0" distB="0" distL="0" distR="0" wp14:anchorId="39B4AA4A" wp14:editId="66F78AAC">
            <wp:extent cx="5943600" cy="4424045"/>
            <wp:effectExtent l="0" t="0" r="0" b="0"/>
            <wp:docPr id="841760685" name="Picture 22">
              <a:hlinkClick xmlns:a="http://schemas.openxmlformats.org/drawingml/2006/main" r:id="rId18"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a:hlinkClick r:id="rId18" tooltip="&quot;&quo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4424045"/>
                    </a:xfrm>
                    <a:prstGeom prst="rect">
                      <a:avLst/>
                    </a:prstGeom>
                    <a:noFill/>
                    <a:ln>
                      <a:noFill/>
                    </a:ln>
                  </pic:spPr>
                </pic:pic>
              </a:graphicData>
            </a:graphic>
          </wp:inline>
        </w:drawing>
      </w:r>
    </w:p>
    <w:p w14:paraId="10A4401B" w14:textId="77777777" w:rsidR="00D2105F" w:rsidRPr="00D2105F" w:rsidRDefault="00D2105F" w:rsidP="00D2105F">
      <w:pPr>
        <w:rPr>
          <w:lang w:val="hr-HR"/>
        </w:rPr>
      </w:pPr>
      <w:r w:rsidRPr="00D2105F">
        <w:rPr>
          <w:lang w:val="hr-HR"/>
        </w:rPr>
        <w:t> </w:t>
      </w:r>
    </w:p>
    <w:p w14:paraId="083C056F" w14:textId="77777777" w:rsidR="00D2105F" w:rsidRPr="00D2105F" w:rsidRDefault="00D2105F" w:rsidP="00D2105F">
      <w:pPr>
        <w:rPr>
          <w:lang w:val="hr-HR"/>
        </w:rPr>
      </w:pPr>
      <w:r w:rsidRPr="00D2105F">
        <w:rPr>
          <w:lang w:val="hr-HR"/>
        </w:rPr>
        <w:t>KORAK 7 – unos podataka u Obrazac TZ2</w:t>
      </w:r>
    </w:p>
    <w:p w14:paraId="01A91A97" w14:textId="77777777" w:rsidR="00D2105F" w:rsidRPr="00D2105F" w:rsidRDefault="00D2105F" w:rsidP="00D2105F">
      <w:pPr>
        <w:rPr>
          <w:lang w:val="hr-HR"/>
        </w:rPr>
      </w:pPr>
      <w:r w:rsidRPr="00D2105F">
        <w:rPr>
          <w:lang w:val="hr-HR"/>
        </w:rPr>
        <w:t>Kada ste odabrali općinu/grad, birate opciju „Podaci“ da bi vam se omogućilo daljnje ispunjavanje obrasca</w:t>
      </w:r>
      <w:r w:rsidRPr="00D2105F">
        <w:rPr>
          <w:i/>
          <w:iCs/>
          <w:lang w:val="hr-HR"/>
        </w:rPr>
        <w:t>.</w:t>
      </w:r>
    </w:p>
    <w:p w14:paraId="4F6DCD39" w14:textId="739AFC8A" w:rsidR="00D2105F" w:rsidRPr="00D2105F" w:rsidRDefault="00D2105F" w:rsidP="00D2105F">
      <w:pPr>
        <w:rPr>
          <w:lang w:val="hr-HR"/>
        </w:rPr>
      </w:pPr>
      <w:r w:rsidRPr="00D2105F">
        <w:rPr>
          <w:lang w:val="hr-HR"/>
        </w:rPr>
        <w:lastRenderedPageBreak/>
        <w:drawing>
          <wp:inline distT="0" distB="0" distL="0" distR="0" wp14:anchorId="62F5B4F8" wp14:editId="3F8F32C1">
            <wp:extent cx="5943600" cy="4286250"/>
            <wp:effectExtent l="0" t="0" r="0" b="0"/>
            <wp:docPr id="1715424413" name="Picture 21">
              <a:hlinkClick xmlns:a="http://schemas.openxmlformats.org/drawingml/2006/main" r:id="rId20"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a:hlinkClick r:id="rId20" tooltip="&quot;&quo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4286250"/>
                    </a:xfrm>
                    <a:prstGeom prst="rect">
                      <a:avLst/>
                    </a:prstGeom>
                    <a:noFill/>
                    <a:ln>
                      <a:noFill/>
                    </a:ln>
                  </pic:spPr>
                </pic:pic>
              </a:graphicData>
            </a:graphic>
          </wp:inline>
        </w:drawing>
      </w:r>
    </w:p>
    <w:p w14:paraId="4266F0A7" w14:textId="77777777" w:rsidR="00D2105F" w:rsidRPr="00D2105F" w:rsidRDefault="00D2105F" w:rsidP="00D2105F">
      <w:pPr>
        <w:rPr>
          <w:lang w:val="hr-HR"/>
        </w:rPr>
      </w:pPr>
      <w:r w:rsidRPr="00D2105F">
        <w:rPr>
          <w:lang w:val="hr-HR"/>
        </w:rPr>
        <w:t> </w:t>
      </w:r>
    </w:p>
    <w:p w14:paraId="022B2005" w14:textId="77777777" w:rsidR="00D2105F" w:rsidRPr="00D2105F" w:rsidRDefault="00D2105F" w:rsidP="00D2105F">
      <w:pPr>
        <w:rPr>
          <w:lang w:val="hr-HR"/>
        </w:rPr>
      </w:pPr>
      <w:r w:rsidRPr="00D2105F">
        <w:rPr>
          <w:lang w:val="hr-HR"/>
        </w:rPr>
        <w:t>KORAK 8 – unos podataka u Obrazac TZ2</w:t>
      </w:r>
    </w:p>
    <w:p w14:paraId="4B782221" w14:textId="77777777" w:rsidR="00D2105F" w:rsidRPr="00D2105F" w:rsidRDefault="00D2105F" w:rsidP="00D2105F">
      <w:pPr>
        <w:rPr>
          <w:lang w:val="hr-HR"/>
        </w:rPr>
      </w:pPr>
      <w:r w:rsidRPr="00D2105F">
        <w:rPr>
          <w:lang w:val="hr-HR"/>
        </w:rPr>
        <w:t>Sada unosite podatke o svom smještaju u obrazac</w:t>
      </w:r>
      <w:r w:rsidRPr="00D2105F">
        <w:rPr>
          <w:i/>
          <w:iCs/>
          <w:lang w:val="hr-HR"/>
        </w:rPr>
        <w:t>.</w:t>
      </w:r>
      <w:r w:rsidRPr="00D2105F">
        <w:rPr>
          <w:lang w:val="hr-HR"/>
        </w:rPr>
        <w:t> Unosite broj stalnih i pomoćnih ležajeva te njihov broj, kao i iznos članarine po ležaju (5,97 po stalnom ležaju i 2,99 po pomoćnom ležaju). Pomnožite broj ležajeva s iznosom članarine da biste dobili ukupan iznos, kojeg upisujete u redak 9 – Ukupno obračunani iznos.</w:t>
      </w:r>
    </w:p>
    <w:p w14:paraId="5AC21C50" w14:textId="77777777" w:rsidR="00D2105F" w:rsidRPr="00D2105F" w:rsidRDefault="00D2105F" w:rsidP="00D2105F">
      <w:pPr>
        <w:rPr>
          <w:lang w:val="hr-HR"/>
        </w:rPr>
      </w:pPr>
      <w:r w:rsidRPr="00D2105F">
        <w:rPr>
          <w:lang w:val="hr-HR"/>
        </w:rPr>
        <w:t>Ako se vaša općina ili grad ne nalazi u potpomognutim područjima, preskačete retke od 10 do 13 i u retku 14 upisujete da vam je ukupno umanjenje „0“. Zatim u redak 15 ponovno upisujete obračunani iznos članarine (istovjetno retku 9).</w:t>
      </w:r>
    </w:p>
    <w:p w14:paraId="63C50F1D" w14:textId="77777777" w:rsidR="00D2105F" w:rsidRPr="00D2105F" w:rsidRDefault="00D2105F" w:rsidP="00D2105F">
      <w:pPr>
        <w:rPr>
          <w:lang w:val="hr-HR"/>
        </w:rPr>
      </w:pPr>
      <w:r w:rsidRPr="00D2105F">
        <w:rPr>
          <w:lang w:val="hr-HR"/>
        </w:rPr>
        <w:t>Potom birate način plaćanja, odnosno želite li članarinu platiti jednokratno ili u tri jednaka obroka. Sukladno odabiru, u stupac do odabrane opcije upisujete iznos za plaćanje. Primjerice, ako vam je ukupno obračunani iznos 29,86 eura i odabrali ste jednokratno plaćanje, upisujete taj iznos, a ako ste odabrali plaćanje u tri rate, u stupac upisujete 9,95 (29,86 / 3).</w:t>
      </w:r>
    </w:p>
    <w:p w14:paraId="19E1B483" w14:textId="77777777" w:rsidR="00D2105F" w:rsidRPr="00D2105F" w:rsidRDefault="00D2105F" w:rsidP="00D2105F">
      <w:pPr>
        <w:rPr>
          <w:lang w:val="hr-HR"/>
        </w:rPr>
      </w:pPr>
      <w:r w:rsidRPr="00D2105F">
        <w:rPr>
          <w:lang w:val="hr-HR"/>
        </w:rPr>
        <w:t>Na samom kraju, prije nego izvršite posljednju provjeru i slanje obrasca, potrebno je </w:t>
      </w:r>
      <w:r w:rsidRPr="00D2105F">
        <w:rPr>
          <w:b/>
          <w:bCs/>
          <w:lang w:val="hr-HR"/>
        </w:rPr>
        <w:t>u redak 17. upisati ukupan iznos primitaka</w:t>
      </w:r>
      <w:r w:rsidRPr="00D2105F">
        <w:rPr>
          <w:lang w:val="hr-HR"/>
        </w:rPr>
        <w:t> iz evidencije prometa iz prethodne godine (upisuje se </w:t>
      </w:r>
      <w:r w:rsidRPr="00D2105F">
        <w:rPr>
          <w:b/>
          <w:bCs/>
          <w:lang w:val="hr-HR"/>
        </w:rPr>
        <w:t>bruto</w:t>
      </w:r>
      <w:r w:rsidRPr="00D2105F">
        <w:rPr>
          <w:lang w:val="hr-HR"/>
        </w:rPr>
        <w:t> iznos – </w:t>
      </w:r>
      <w:r w:rsidRPr="00D2105F">
        <w:rPr>
          <w:i/>
          <w:iCs/>
          <w:lang w:val="hr-HR"/>
        </w:rPr>
        <w:t>s posebnom pažnjom na uključivanje provizija za portale; važno je primjerice razlikovati Airbnb gdje je ona za iznajmljivača ≈ 3%, ostalo je provizija gosta, dok na primjeru Booking.com-a je cijela provizija na iznajmljivaču</w:t>
      </w:r>
      <w:r w:rsidRPr="00D2105F">
        <w:rPr>
          <w:lang w:val="hr-HR"/>
        </w:rPr>
        <w:t>)</w:t>
      </w:r>
    </w:p>
    <w:p w14:paraId="02D6CB6D" w14:textId="77777777" w:rsidR="00D2105F" w:rsidRPr="00D2105F" w:rsidRDefault="00D2105F" w:rsidP="00D2105F">
      <w:pPr>
        <w:rPr>
          <w:lang w:val="hr-HR"/>
        </w:rPr>
      </w:pPr>
      <w:r w:rsidRPr="00D2105F">
        <w:rPr>
          <w:lang w:val="hr-HR"/>
        </w:rPr>
        <w:lastRenderedPageBreak/>
        <w:t> </w:t>
      </w:r>
    </w:p>
    <w:p w14:paraId="0546D32B" w14:textId="01611FF7" w:rsidR="00D2105F" w:rsidRPr="00D2105F" w:rsidRDefault="00D2105F" w:rsidP="00D2105F">
      <w:pPr>
        <w:rPr>
          <w:lang w:val="hr-HR"/>
        </w:rPr>
      </w:pPr>
      <w:r w:rsidRPr="00D2105F">
        <w:rPr>
          <w:lang w:val="hr-HR"/>
        </w:rPr>
        <w:drawing>
          <wp:inline distT="0" distB="0" distL="0" distR="0" wp14:anchorId="072C7101" wp14:editId="01F3CF37">
            <wp:extent cx="5943600" cy="4242435"/>
            <wp:effectExtent l="0" t="0" r="0" b="5715"/>
            <wp:docPr id="1592952275" name="Picture 20">
              <a:hlinkClick xmlns:a="http://schemas.openxmlformats.org/drawingml/2006/main" r:id="rId22"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a:hlinkClick r:id="rId22" tooltip="&quot;&quo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4242435"/>
                    </a:xfrm>
                    <a:prstGeom prst="rect">
                      <a:avLst/>
                    </a:prstGeom>
                    <a:noFill/>
                    <a:ln>
                      <a:noFill/>
                    </a:ln>
                  </pic:spPr>
                </pic:pic>
              </a:graphicData>
            </a:graphic>
          </wp:inline>
        </w:drawing>
      </w:r>
    </w:p>
    <w:p w14:paraId="091FBF71" w14:textId="77777777" w:rsidR="00D2105F" w:rsidRPr="00D2105F" w:rsidRDefault="00D2105F" w:rsidP="00D2105F">
      <w:pPr>
        <w:rPr>
          <w:lang w:val="hr-HR"/>
        </w:rPr>
      </w:pPr>
      <w:r w:rsidRPr="00D2105F">
        <w:rPr>
          <w:lang w:val="hr-HR"/>
        </w:rPr>
        <w:t> </w:t>
      </w:r>
    </w:p>
    <w:p w14:paraId="21FFF99B" w14:textId="77777777" w:rsidR="00D2105F" w:rsidRPr="00D2105F" w:rsidRDefault="00D2105F" w:rsidP="00D2105F">
      <w:pPr>
        <w:rPr>
          <w:lang w:val="hr-HR"/>
        </w:rPr>
      </w:pPr>
      <w:r w:rsidRPr="00D2105F">
        <w:rPr>
          <w:lang w:val="hr-HR"/>
        </w:rPr>
        <w:t>KORAK 9 – provjera podataka</w:t>
      </w:r>
    </w:p>
    <w:p w14:paraId="7417764A" w14:textId="77777777" w:rsidR="00D2105F" w:rsidRPr="00D2105F" w:rsidRDefault="00D2105F" w:rsidP="00D2105F">
      <w:pPr>
        <w:rPr>
          <w:lang w:val="hr-HR"/>
        </w:rPr>
      </w:pPr>
      <w:r w:rsidRPr="00D2105F">
        <w:rPr>
          <w:lang w:val="hr-HR"/>
        </w:rPr>
        <w:t>Kada ste završili s ispunjavanjem obrasca, kliknite na „Provjeri“ kako biste provjerili da je sve ispravno popunjeno. Ako se dogodila neka greška, sustav će vas o tome obavijestiti te će vam se pojaviti obavijest što trebate promijeniti. Kada je sve ispravno, na vrhu stranice vidjet ćete obavijest da su podaci obrasca ispravni.</w:t>
      </w:r>
    </w:p>
    <w:p w14:paraId="4321FD07" w14:textId="26795B66" w:rsidR="00D2105F" w:rsidRPr="00D2105F" w:rsidRDefault="00D2105F" w:rsidP="00D2105F">
      <w:pPr>
        <w:rPr>
          <w:lang w:val="hr-HR"/>
        </w:rPr>
      </w:pPr>
      <w:r w:rsidRPr="00D2105F">
        <w:rPr>
          <w:lang w:val="hr-HR"/>
        </w:rPr>
        <w:lastRenderedPageBreak/>
        <w:drawing>
          <wp:inline distT="0" distB="0" distL="0" distR="0" wp14:anchorId="4EF7DDD9" wp14:editId="1051A025">
            <wp:extent cx="5943600" cy="3063240"/>
            <wp:effectExtent l="0" t="0" r="0" b="3810"/>
            <wp:docPr id="2069433953" name="Picture 19">
              <a:hlinkClick xmlns:a="http://schemas.openxmlformats.org/drawingml/2006/main" r:id="rId24"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a:hlinkClick r:id="rId24" tooltip="&quot;&quo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3063240"/>
                    </a:xfrm>
                    <a:prstGeom prst="rect">
                      <a:avLst/>
                    </a:prstGeom>
                    <a:noFill/>
                    <a:ln>
                      <a:noFill/>
                    </a:ln>
                  </pic:spPr>
                </pic:pic>
              </a:graphicData>
            </a:graphic>
          </wp:inline>
        </w:drawing>
      </w:r>
    </w:p>
    <w:p w14:paraId="09F4D109" w14:textId="77777777" w:rsidR="00D2105F" w:rsidRPr="00D2105F" w:rsidRDefault="00D2105F" w:rsidP="00D2105F">
      <w:pPr>
        <w:rPr>
          <w:lang w:val="hr-HR"/>
        </w:rPr>
      </w:pPr>
      <w:r w:rsidRPr="00D2105F">
        <w:rPr>
          <w:lang w:val="hr-HR"/>
        </w:rPr>
        <w:t> </w:t>
      </w:r>
    </w:p>
    <w:p w14:paraId="1003F16E" w14:textId="77777777" w:rsidR="00D2105F" w:rsidRPr="00D2105F" w:rsidRDefault="00D2105F" w:rsidP="00D2105F">
      <w:pPr>
        <w:rPr>
          <w:lang w:val="hr-HR"/>
        </w:rPr>
      </w:pPr>
      <w:r w:rsidRPr="00D2105F">
        <w:rPr>
          <w:lang w:val="hr-HR"/>
        </w:rPr>
        <w:t>KORAK 10 – slanje obrasca</w:t>
      </w:r>
    </w:p>
    <w:p w14:paraId="0251D46B" w14:textId="77777777" w:rsidR="00D2105F" w:rsidRPr="00D2105F" w:rsidRDefault="00D2105F" w:rsidP="00D2105F">
      <w:pPr>
        <w:rPr>
          <w:lang w:val="hr-HR"/>
        </w:rPr>
      </w:pPr>
      <w:r w:rsidRPr="00D2105F">
        <w:rPr>
          <w:lang w:val="hr-HR"/>
        </w:rPr>
        <w:t>Preostaje vam samo poslati obrazac, a to činite odabirom opcije „Pošalji“ u izborniku s lijeve strane.</w:t>
      </w:r>
    </w:p>
    <w:p w14:paraId="184EBCFA" w14:textId="78DA3C82" w:rsidR="00D2105F" w:rsidRPr="00D2105F" w:rsidRDefault="00D2105F" w:rsidP="00D2105F">
      <w:pPr>
        <w:rPr>
          <w:lang w:val="hr-HR"/>
        </w:rPr>
      </w:pPr>
      <w:r w:rsidRPr="00D2105F">
        <w:rPr>
          <w:lang w:val="hr-HR"/>
        </w:rPr>
        <w:drawing>
          <wp:inline distT="0" distB="0" distL="0" distR="0" wp14:anchorId="1606A74D" wp14:editId="2047AD90">
            <wp:extent cx="5943600" cy="2370455"/>
            <wp:effectExtent l="0" t="0" r="0" b="0"/>
            <wp:docPr id="1775270509" name="Picture 18">
              <a:hlinkClick xmlns:a="http://schemas.openxmlformats.org/drawingml/2006/main" r:id="rId26"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a:hlinkClick r:id="rId26" tooltip="&quot;&quo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2370455"/>
                    </a:xfrm>
                    <a:prstGeom prst="rect">
                      <a:avLst/>
                    </a:prstGeom>
                    <a:noFill/>
                    <a:ln>
                      <a:noFill/>
                    </a:ln>
                  </pic:spPr>
                </pic:pic>
              </a:graphicData>
            </a:graphic>
          </wp:inline>
        </w:drawing>
      </w:r>
    </w:p>
    <w:p w14:paraId="1FB48DD4" w14:textId="77777777" w:rsidR="00D2105F" w:rsidRPr="00D2105F" w:rsidRDefault="00D2105F" w:rsidP="00D2105F">
      <w:pPr>
        <w:rPr>
          <w:lang w:val="hr-HR"/>
        </w:rPr>
      </w:pPr>
      <w:r w:rsidRPr="00D2105F">
        <w:rPr>
          <w:lang w:val="hr-HR"/>
        </w:rPr>
        <w:t> </w:t>
      </w:r>
    </w:p>
    <w:p w14:paraId="6CB1C1AC" w14:textId="77777777" w:rsidR="00D2105F" w:rsidRPr="00D2105F" w:rsidRDefault="00D2105F" w:rsidP="00D2105F">
      <w:pPr>
        <w:rPr>
          <w:lang w:val="hr-HR"/>
        </w:rPr>
      </w:pPr>
      <w:r w:rsidRPr="00D2105F">
        <w:rPr>
          <w:lang w:val="hr-HR"/>
        </w:rPr>
        <w:t>KORAK 11 – potvrda o slanju</w:t>
      </w:r>
    </w:p>
    <w:p w14:paraId="7A5FE482" w14:textId="77777777" w:rsidR="00D2105F" w:rsidRPr="00D2105F" w:rsidRDefault="00D2105F" w:rsidP="00D2105F">
      <w:pPr>
        <w:rPr>
          <w:lang w:val="hr-HR"/>
        </w:rPr>
      </w:pPr>
      <w:r w:rsidRPr="00D2105F">
        <w:rPr>
          <w:lang w:val="hr-HR"/>
        </w:rPr>
        <w:t>Obrazac je podnesen Poreznoj upravi, a vama će se pojaviti potvrda o zaprimanju obrasca, koju je poželjno sačuvati ili isprintati kako biste imali dokaz da ste na vrijeme podnijeli obrazac.</w:t>
      </w:r>
    </w:p>
    <w:p w14:paraId="4BCE4756" w14:textId="77777777" w:rsidR="00D2105F" w:rsidRPr="00D2105F" w:rsidRDefault="00D2105F" w:rsidP="00D2105F">
      <w:pPr>
        <w:rPr>
          <w:lang w:val="hr-HR"/>
        </w:rPr>
      </w:pPr>
      <w:r w:rsidRPr="00D2105F">
        <w:rPr>
          <w:lang w:val="hr-HR"/>
        </w:rPr>
        <w:t> </w:t>
      </w:r>
    </w:p>
    <w:p w14:paraId="43938EAD" w14:textId="76385E38" w:rsidR="00D2105F" w:rsidRPr="00D2105F" w:rsidRDefault="00D2105F" w:rsidP="00D2105F">
      <w:pPr>
        <w:rPr>
          <w:lang w:val="hr-HR"/>
        </w:rPr>
      </w:pPr>
      <w:r w:rsidRPr="00D2105F">
        <w:rPr>
          <w:lang w:val="hr-HR"/>
        </w:rPr>
        <w:lastRenderedPageBreak/>
        <w:drawing>
          <wp:inline distT="0" distB="0" distL="0" distR="0" wp14:anchorId="184CE3CE" wp14:editId="777C4A39">
            <wp:extent cx="5943600" cy="3808730"/>
            <wp:effectExtent l="0" t="0" r="0" b="1270"/>
            <wp:docPr id="1227112220" name="Picture 17">
              <a:hlinkClick xmlns:a="http://schemas.openxmlformats.org/drawingml/2006/main" r:id="rId28"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a:hlinkClick r:id="rId28" tooltip="&quot;&quo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3808730"/>
                    </a:xfrm>
                    <a:prstGeom prst="rect">
                      <a:avLst/>
                    </a:prstGeom>
                    <a:noFill/>
                    <a:ln>
                      <a:noFill/>
                    </a:ln>
                  </pic:spPr>
                </pic:pic>
              </a:graphicData>
            </a:graphic>
          </wp:inline>
        </w:drawing>
      </w:r>
    </w:p>
    <w:p w14:paraId="0ED553EC" w14:textId="77777777" w:rsidR="00D2105F" w:rsidRPr="00D2105F" w:rsidRDefault="00D2105F" w:rsidP="00D2105F">
      <w:pPr>
        <w:rPr>
          <w:lang w:val="hr-HR"/>
        </w:rPr>
      </w:pPr>
    </w:p>
    <w:p w14:paraId="29014CBE" w14:textId="77777777" w:rsidR="00D2105F" w:rsidRPr="00D2105F" w:rsidRDefault="00D2105F" w:rsidP="00D2105F">
      <w:pPr>
        <w:rPr>
          <w:lang w:val="hr-HR"/>
        </w:rPr>
      </w:pPr>
      <w:r w:rsidRPr="00D2105F">
        <w:rPr>
          <w:lang w:val="hr-HR"/>
        </w:rPr>
        <w:pict w14:anchorId="58CC1D77">
          <v:rect id="_x0000_i1119" style="width:0;height:0" o:hralign="center" o:hrstd="t" o:hr="t" fillcolor="#a0a0a0" stroked="f"/>
        </w:pict>
      </w:r>
    </w:p>
    <w:p w14:paraId="31E9DDDB" w14:textId="77777777" w:rsidR="00D2105F" w:rsidRPr="00D2105F" w:rsidRDefault="00D2105F" w:rsidP="00D2105F">
      <w:pPr>
        <w:rPr>
          <w:lang w:val="hr-HR"/>
        </w:rPr>
      </w:pPr>
      <w:r w:rsidRPr="00D2105F">
        <w:rPr>
          <w:lang w:val="hr-HR"/>
        </w:rPr>
        <w:br/>
      </w:r>
      <w:r w:rsidRPr="00D2105F">
        <w:rPr>
          <w:i/>
          <w:iCs/>
          <w:lang w:val="hr-HR"/>
        </w:rPr>
        <w:t>Informacije sadržane u ovom tekstu prikupljene su i prezentirane u suradnji s lokalnim turističkim zajednicama, isključivo u svrhu pružanja općih informacija. Ističemo da se odričemo bilo kakve odgovornosti za eventualne pravne implikacije ili nesporazume koji mogu proizaći iz korištenja ovih informacija. Sve informacije su pružene 'kao što jesu', bez garancija za njihovu točnost, cjelovitost ili aktualnost. Ove informacije nisu namijenjene kao zamjena za stručni pravni savjet i ne bi trebale biti osnova za donošenje značajnih odluka, za što bi ipak bilo preporučljivo obratiti se nadležnim institucijama.</w:t>
      </w:r>
    </w:p>
    <w:p w14:paraId="73F0E350" w14:textId="77777777" w:rsidR="00D2105F" w:rsidRPr="00D2105F" w:rsidRDefault="00D2105F" w:rsidP="00D2105F">
      <w:pPr>
        <w:rPr>
          <w:lang w:val="hr-HR"/>
        </w:rPr>
      </w:pPr>
      <w:r w:rsidRPr="00D2105F">
        <w:rPr>
          <w:lang w:val="hr-HR"/>
        </w:rPr>
        <w:pict w14:anchorId="299350F3">
          <v:rect id="_x0000_i1120" style="width:0;height:0" o:hralign="center" o:hrstd="t" o:hr="t" fillcolor="#a0a0a0" stroked="f"/>
        </w:pict>
      </w:r>
    </w:p>
    <w:p w14:paraId="61D77009" w14:textId="208423A2" w:rsidR="00D2105F" w:rsidRPr="00D2105F" w:rsidRDefault="00D2105F" w:rsidP="00F42E65">
      <w:pPr>
        <w:rPr>
          <w:lang w:val="hr-HR"/>
        </w:rPr>
      </w:pPr>
      <w:r w:rsidRPr="00D2105F">
        <w:rPr>
          <w:lang w:val="hr-HR"/>
        </w:rPr>
        <w:br/>
      </w:r>
    </w:p>
    <w:p w14:paraId="20F2032E" w14:textId="77777777" w:rsidR="00D2105F" w:rsidRPr="00D2105F" w:rsidRDefault="00D2105F" w:rsidP="00D2105F">
      <w:pPr>
        <w:rPr>
          <w:lang w:val="hr-HR"/>
        </w:rPr>
      </w:pPr>
    </w:p>
    <w:p w14:paraId="7F70C37D" w14:textId="77777777" w:rsidR="00D2105F" w:rsidRPr="00D2105F" w:rsidRDefault="00D2105F" w:rsidP="00D2105F">
      <w:pPr>
        <w:rPr>
          <w:vanish/>
          <w:lang w:val="hr-HR"/>
        </w:rPr>
      </w:pPr>
      <w:r w:rsidRPr="00D2105F">
        <w:rPr>
          <w:vanish/>
          <w:lang w:val="hr-HR"/>
        </w:rPr>
        <w:t>Top of Form</w:t>
      </w:r>
    </w:p>
    <w:p w14:paraId="41B6451B" w14:textId="5E8C1336" w:rsidR="00D2105F" w:rsidRPr="00D2105F" w:rsidRDefault="00D2105F" w:rsidP="00D2105F">
      <w:pPr>
        <w:rPr>
          <w:lang w:val="hr-HR"/>
        </w:rPr>
      </w:pPr>
      <w:r w:rsidRPr="00D2105F">
        <w:rPr>
          <w:b/>
          <w:bCs/>
          <w:lang w:val="hr-HR"/>
        </w:rPr>
        <w:drawing>
          <wp:inline distT="0" distB="0" distL="0" distR="0" wp14:anchorId="5D9030B5" wp14:editId="0A4D9CFC">
            <wp:extent cx="4762500" cy="952500"/>
            <wp:effectExtent l="0" t="0" r="0" b="0"/>
            <wp:docPr id="1305522242" name="Picture 15" descr="Logo Apartmanica">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Logo Apartmanica">
                      <a:hlinkClick r:id="rId5"/>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762500" cy="952500"/>
                    </a:xfrm>
                    <a:prstGeom prst="rect">
                      <a:avLst/>
                    </a:prstGeom>
                    <a:noFill/>
                    <a:ln>
                      <a:noFill/>
                    </a:ln>
                  </pic:spPr>
                </pic:pic>
              </a:graphicData>
            </a:graphic>
          </wp:inline>
        </w:drawing>
      </w:r>
    </w:p>
    <w:p w14:paraId="231E3F8A" w14:textId="29FAF581" w:rsidR="00D2105F" w:rsidRPr="00D2105F" w:rsidRDefault="00D2105F" w:rsidP="00D2105F">
      <w:pPr>
        <w:rPr>
          <w:lang w:val="hr-HR"/>
        </w:rPr>
      </w:pPr>
    </w:p>
    <w:p w14:paraId="41D5888D" w14:textId="77777777" w:rsidR="00901479" w:rsidRDefault="00901479"/>
    <w:sectPr w:rsidR="00901479">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0D528D"/>
    <w:multiLevelType w:val="multilevel"/>
    <w:tmpl w:val="7716E9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310957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4FFD"/>
    <w:rsid w:val="00893A8D"/>
    <w:rsid w:val="00901479"/>
    <w:rsid w:val="00A13C61"/>
    <w:rsid w:val="00D2105F"/>
    <w:rsid w:val="00E34FFD"/>
    <w:rsid w:val="00F42E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ED39BE"/>
  <w15:chartTrackingRefBased/>
  <w15:docId w15:val="{20CFEA55-5F83-4BDF-ACFC-241388B66E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34FFD"/>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Heading2">
    <w:name w:val="heading 2"/>
    <w:basedOn w:val="Normal"/>
    <w:next w:val="Normal"/>
    <w:link w:val="Heading2Char"/>
    <w:uiPriority w:val="9"/>
    <w:semiHidden/>
    <w:unhideWhenUsed/>
    <w:qFormat/>
    <w:rsid w:val="00E34FFD"/>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E34FFD"/>
    <w:pPr>
      <w:keepNext/>
      <w:keepLines/>
      <w:spacing w:before="160" w:after="80"/>
      <w:outlineLvl w:val="2"/>
    </w:pPr>
    <w:rPr>
      <w:rFonts w:eastAsiaTheme="majorEastAsia" w:cstheme="majorBidi"/>
      <w:color w:val="2E74B5" w:themeColor="accent1" w:themeShade="BF"/>
      <w:sz w:val="28"/>
      <w:szCs w:val="28"/>
    </w:rPr>
  </w:style>
  <w:style w:type="paragraph" w:styleId="Heading4">
    <w:name w:val="heading 4"/>
    <w:basedOn w:val="Normal"/>
    <w:next w:val="Normal"/>
    <w:link w:val="Heading4Char"/>
    <w:uiPriority w:val="9"/>
    <w:semiHidden/>
    <w:unhideWhenUsed/>
    <w:qFormat/>
    <w:rsid w:val="00E34FFD"/>
    <w:pPr>
      <w:keepNext/>
      <w:keepLines/>
      <w:spacing w:before="80" w:after="40"/>
      <w:outlineLvl w:val="3"/>
    </w:pPr>
    <w:rPr>
      <w:rFonts w:eastAsiaTheme="majorEastAsia" w:cstheme="majorBidi"/>
      <w:i/>
      <w:iCs/>
      <w:color w:val="2E74B5" w:themeColor="accent1" w:themeShade="BF"/>
    </w:rPr>
  </w:style>
  <w:style w:type="paragraph" w:styleId="Heading5">
    <w:name w:val="heading 5"/>
    <w:basedOn w:val="Normal"/>
    <w:next w:val="Normal"/>
    <w:link w:val="Heading5Char"/>
    <w:uiPriority w:val="9"/>
    <w:semiHidden/>
    <w:unhideWhenUsed/>
    <w:qFormat/>
    <w:rsid w:val="00E34FFD"/>
    <w:pPr>
      <w:keepNext/>
      <w:keepLines/>
      <w:spacing w:before="80" w:after="40"/>
      <w:outlineLvl w:val="4"/>
    </w:pPr>
    <w:rPr>
      <w:rFonts w:eastAsiaTheme="majorEastAsia" w:cstheme="majorBidi"/>
      <w:color w:val="2E74B5" w:themeColor="accent1" w:themeShade="BF"/>
    </w:rPr>
  </w:style>
  <w:style w:type="paragraph" w:styleId="Heading6">
    <w:name w:val="heading 6"/>
    <w:basedOn w:val="Normal"/>
    <w:next w:val="Normal"/>
    <w:link w:val="Heading6Char"/>
    <w:uiPriority w:val="9"/>
    <w:semiHidden/>
    <w:unhideWhenUsed/>
    <w:qFormat/>
    <w:rsid w:val="00E34FF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34FF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34FF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34FF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34FFD"/>
    <w:rPr>
      <w:rFonts w:asciiTheme="majorHAnsi" w:eastAsiaTheme="majorEastAsia" w:hAnsiTheme="majorHAnsi" w:cstheme="majorBidi"/>
      <w:color w:val="2E74B5" w:themeColor="accent1" w:themeShade="BF"/>
      <w:sz w:val="40"/>
      <w:szCs w:val="40"/>
    </w:rPr>
  </w:style>
  <w:style w:type="character" w:customStyle="1" w:styleId="Heading2Char">
    <w:name w:val="Heading 2 Char"/>
    <w:basedOn w:val="DefaultParagraphFont"/>
    <w:link w:val="Heading2"/>
    <w:uiPriority w:val="9"/>
    <w:semiHidden/>
    <w:rsid w:val="00E34FFD"/>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semiHidden/>
    <w:rsid w:val="00E34FFD"/>
    <w:rPr>
      <w:rFonts w:eastAsiaTheme="majorEastAsia" w:cstheme="majorBidi"/>
      <w:color w:val="2E74B5" w:themeColor="accent1" w:themeShade="BF"/>
      <w:sz w:val="28"/>
      <w:szCs w:val="28"/>
    </w:rPr>
  </w:style>
  <w:style w:type="character" w:customStyle="1" w:styleId="Heading4Char">
    <w:name w:val="Heading 4 Char"/>
    <w:basedOn w:val="DefaultParagraphFont"/>
    <w:link w:val="Heading4"/>
    <w:uiPriority w:val="9"/>
    <w:semiHidden/>
    <w:rsid w:val="00E34FFD"/>
    <w:rPr>
      <w:rFonts w:eastAsiaTheme="majorEastAsia" w:cstheme="majorBidi"/>
      <w:i/>
      <w:iCs/>
      <w:color w:val="2E74B5" w:themeColor="accent1" w:themeShade="BF"/>
    </w:rPr>
  </w:style>
  <w:style w:type="character" w:customStyle="1" w:styleId="Heading5Char">
    <w:name w:val="Heading 5 Char"/>
    <w:basedOn w:val="DefaultParagraphFont"/>
    <w:link w:val="Heading5"/>
    <w:uiPriority w:val="9"/>
    <w:semiHidden/>
    <w:rsid w:val="00E34FFD"/>
    <w:rPr>
      <w:rFonts w:eastAsiaTheme="majorEastAsia" w:cstheme="majorBidi"/>
      <w:color w:val="2E74B5" w:themeColor="accent1" w:themeShade="BF"/>
    </w:rPr>
  </w:style>
  <w:style w:type="character" w:customStyle="1" w:styleId="Heading6Char">
    <w:name w:val="Heading 6 Char"/>
    <w:basedOn w:val="DefaultParagraphFont"/>
    <w:link w:val="Heading6"/>
    <w:uiPriority w:val="9"/>
    <w:semiHidden/>
    <w:rsid w:val="00E34FF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34FF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34FF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34FFD"/>
    <w:rPr>
      <w:rFonts w:eastAsiaTheme="majorEastAsia" w:cstheme="majorBidi"/>
      <w:color w:val="272727" w:themeColor="text1" w:themeTint="D8"/>
    </w:rPr>
  </w:style>
  <w:style w:type="paragraph" w:styleId="Title">
    <w:name w:val="Title"/>
    <w:basedOn w:val="Normal"/>
    <w:next w:val="Normal"/>
    <w:link w:val="TitleChar"/>
    <w:uiPriority w:val="10"/>
    <w:qFormat/>
    <w:rsid w:val="00E34FF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34FF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34FF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34FF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34FFD"/>
    <w:pPr>
      <w:spacing w:before="160"/>
      <w:jc w:val="center"/>
    </w:pPr>
    <w:rPr>
      <w:i/>
      <w:iCs/>
      <w:color w:val="404040" w:themeColor="text1" w:themeTint="BF"/>
    </w:rPr>
  </w:style>
  <w:style w:type="character" w:customStyle="1" w:styleId="QuoteChar">
    <w:name w:val="Quote Char"/>
    <w:basedOn w:val="DefaultParagraphFont"/>
    <w:link w:val="Quote"/>
    <w:uiPriority w:val="29"/>
    <w:rsid w:val="00E34FFD"/>
    <w:rPr>
      <w:i/>
      <w:iCs/>
      <w:color w:val="404040" w:themeColor="text1" w:themeTint="BF"/>
    </w:rPr>
  </w:style>
  <w:style w:type="paragraph" w:styleId="ListParagraph">
    <w:name w:val="List Paragraph"/>
    <w:basedOn w:val="Normal"/>
    <w:uiPriority w:val="34"/>
    <w:qFormat/>
    <w:rsid w:val="00E34FFD"/>
    <w:pPr>
      <w:ind w:left="720"/>
      <w:contextualSpacing/>
    </w:pPr>
  </w:style>
  <w:style w:type="character" w:styleId="IntenseEmphasis">
    <w:name w:val="Intense Emphasis"/>
    <w:basedOn w:val="DefaultParagraphFont"/>
    <w:uiPriority w:val="21"/>
    <w:qFormat/>
    <w:rsid w:val="00E34FFD"/>
    <w:rPr>
      <w:i/>
      <w:iCs/>
      <w:color w:val="2E74B5" w:themeColor="accent1" w:themeShade="BF"/>
    </w:rPr>
  </w:style>
  <w:style w:type="paragraph" w:styleId="IntenseQuote">
    <w:name w:val="Intense Quote"/>
    <w:basedOn w:val="Normal"/>
    <w:next w:val="Normal"/>
    <w:link w:val="IntenseQuoteChar"/>
    <w:uiPriority w:val="30"/>
    <w:qFormat/>
    <w:rsid w:val="00E34FFD"/>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IntenseQuoteChar">
    <w:name w:val="Intense Quote Char"/>
    <w:basedOn w:val="DefaultParagraphFont"/>
    <w:link w:val="IntenseQuote"/>
    <w:uiPriority w:val="30"/>
    <w:rsid w:val="00E34FFD"/>
    <w:rPr>
      <w:i/>
      <w:iCs/>
      <w:color w:val="2E74B5" w:themeColor="accent1" w:themeShade="BF"/>
    </w:rPr>
  </w:style>
  <w:style w:type="character" w:styleId="IntenseReference">
    <w:name w:val="Intense Reference"/>
    <w:basedOn w:val="DefaultParagraphFont"/>
    <w:uiPriority w:val="32"/>
    <w:qFormat/>
    <w:rsid w:val="00E34FFD"/>
    <w:rPr>
      <w:b/>
      <w:bCs/>
      <w:smallCaps/>
      <w:color w:val="2E74B5" w:themeColor="accent1" w:themeShade="BF"/>
      <w:spacing w:val="5"/>
    </w:rPr>
  </w:style>
  <w:style w:type="character" w:styleId="Hyperlink">
    <w:name w:val="Hyperlink"/>
    <w:basedOn w:val="DefaultParagraphFont"/>
    <w:uiPriority w:val="99"/>
    <w:unhideWhenUsed/>
    <w:rsid w:val="00D2105F"/>
    <w:rPr>
      <w:color w:val="0563C1" w:themeColor="hyperlink"/>
      <w:u w:val="single"/>
    </w:rPr>
  </w:style>
  <w:style w:type="character" w:styleId="UnresolvedMention">
    <w:name w:val="Unresolved Mention"/>
    <w:basedOn w:val="DefaultParagraphFont"/>
    <w:uiPriority w:val="99"/>
    <w:semiHidden/>
    <w:unhideWhenUsed/>
    <w:rsid w:val="00D2105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porezna.porezna-uprava.hr/Prijava.aspx?ReturnUrl=%2f" TargetMode="External"/><Relationship Id="rId13" Type="http://schemas.openxmlformats.org/officeDocument/2006/relationships/hyperlink" Target="https://www.apartmanica.com/wp-content/uploads/2025/01/kako-ispuniti-obrazac-tz2-egradani-iznajmljivaci-3.png" TargetMode="External"/><Relationship Id="rId18" Type="http://schemas.openxmlformats.org/officeDocument/2006/relationships/hyperlink" Target="https://www.apartmanica.com/wp-content/uploads/2025/01/kako-ispuniti-obrazac-tz2-egradani-iznajmljivaci-6.png" TargetMode="External"/><Relationship Id="rId26" Type="http://schemas.openxmlformats.org/officeDocument/2006/relationships/hyperlink" Target="https://www.apartmanica.com/wp-content/uploads/2025/01/kako-ispuniti-obrazac-tz2-egradani-iznajmljivaci-10-e1736353656289.png" TargetMode="External"/><Relationship Id="rId3" Type="http://schemas.openxmlformats.org/officeDocument/2006/relationships/settings" Target="settings.xml"/><Relationship Id="rId21" Type="http://schemas.openxmlformats.org/officeDocument/2006/relationships/image" Target="media/image8.png"/><Relationship Id="rId7" Type="http://schemas.openxmlformats.org/officeDocument/2006/relationships/hyperlink" Target="https://www.apartmanica.com/blog/rok-za-predaju-obrasca-tz2-do-15-1-od-ove-godine-iskljucivo-preko-sustava-egradani/" TargetMode="Externa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hyperlink" Target="https://www.apartmanica.com/wp-content/uploads/2025/01/kako-ispuniti-obrazac-tz2-egradani-iznajmljivaci-5.png" TargetMode="External"/><Relationship Id="rId20" Type="http://schemas.openxmlformats.org/officeDocument/2006/relationships/hyperlink" Target="https://www.apartmanica.com/wp-content/uploads/2025/01/kako-ispuniti-obrazac-tz2-egradani-iznajmljivaci-7.png" TargetMode="External"/><Relationship Id="rId29"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www.apartmanica.com/wp-content/uploads/2025/01/kako-ispuniti-obrazac-tz2-egradani-iznajmljivaci-2-e1736352673811.png" TargetMode="External"/><Relationship Id="rId24" Type="http://schemas.openxmlformats.org/officeDocument/2006/relationships/hyperlink" Target="https://www.apartmanica.com/wp-content/uploads/2025/01/kako-ispuniti-obrazac-tz2-egradani-iznajmljivaci-9-e1736353638795.png" TargetMode="External"/><Relationship Id="rId32" Type="http://schemas.openxmlformats.org/officeDocument/2006/relationships/theme" Target="theme/theme1.xml"/><Relationship Id="rId5" Type="http://schemas.openxmlformats.org/officeDocument/2006/relationships/hyperlink" Target="https://www.apartmanica.com/blog/vodic-kako-ispuniti-obrazac-tz2-preko-sustava-egradani/" TargetMode="External"/><Relationship Id="rId15" Type="http://schemas.openxmlformats.org/officeDocument/2006/relationships/image" Target="media/image5.png"/><Relationship Id="rId23" Type="http://schemas.openxmlformats.org/officeDocument/2006/relationships/image" Target="media/image9.png"/><Relationship Id="rId28" Type="http://schemas.openxmlformats.org/officeDocument/2006/relationships/hyperlink" Target="https://www.apartmanica.com/wp-content/uploads/2025/01/kako-ispuniti-obrazac-tz2-egradani-iznajmljivaci-11.png" TargetMode="External"/><Relationship Id="rId10" Type="http://schemas.openxmlformats.org/officeDocument/2006/relationships/image" Target="media/image2.png"/><Relationship Id="rId19" Type="http://schemas.openxmlformats.org/officeDocument/2006/relationships/image" Target="media/image7.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apartmanica.com/wp-content/uploads/2025/01/kako-ispuniti-obrazac-tz2-egradani-iznajmljivaci.png" TargetMode="External"/><Relationship Id="rId14" Type="http://schemas.openxmlformats.org/officeDocument/2006/relationships/image" Target="media/image4.png"/><Relationship Id="rId22" Type="http://schemas.openxmlformats.org/officeDocument/2006/relationships/hyperlink" Target="https://www.apartmanica.com/wp-content/uploads/2025/01/kako-ispuniti-obrazac-tz2-egradani-iznajmljivaci-8.png" TargetMode="External"/><Relationship Id="rId27" Type="http://schemas.openxmlformats.org/officeDocument/2006/relationships/image" Target="media/image11.png"/><Relationship Id="rId30"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11</Pages>
  <Words>857</Words>
  <Characters>4885</Characters>
  <Application>Microsoft Office Word</Application>
  <DocSecurity>0</DocSecurity>
  <Lines>40</Lines>
  <Paragraphs>11</Paragraphs>
  <ScaleCrop>false</ScaleCrop>
  <Company/>
  <LinksUpToDate>false</LinksUpToDate>
  <CharactersWithSpaces>5731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cp:revision>
  <dcterms:created xsi:type="dcterms:W3CDTF">2025-11-28T13:01:00Z</dcterms:created>
  <dcterms:modified xsi:type="dcterms:W3CDTF">2025-11-28T13:02:00Z</dcterms:modified>
</cp:coreProperties>
</file>